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CD" w:rsidRPr="009118DF" w:rsidRDefault="00A744CD" w:rsidP="004A5190">
      <w:pPr>
        <w:jc w:val="center"/>
        <w:rPr>
          <w:b/>
        </w:rPr>
      </w:pPr>
      <w:r w:rsidRPr="009118DF">
        <w:rPr>
          <w:b/>
        </w:rPr>
        <w:t>ELŐTERJESZTÉS</w:t>
      </w:r>
    </w:p>
    <w:p w:rsidR="00A744CD" w:rsidRPr="009118DF" w:rsidRDefault="00A744CD" w:rsidP="004A5190">
      <w:pPr>
        <w:jc w:val="center"/>
        <w:rPr>
          <w:b/>
        </w:rPr>
      </w:pPr>
    </w:p>
    <w:p w:rsidR="00A744CD" w:rsidRPr="009118DF" w:rsidRDefault="00A744CD" w:rsidP="004A5190">
      <w:pPr>
        <w:jc w:val="center"/>
      </w:pPr>
      <w:r>
        <w:t>Mőcsény Község</w:t>
      </w:r>
      <w:r w:rsidRPr="009118DF">
        <w:t xml:space="preserve"> Önkormányzata Képviselő- testületének 20</w:t>
      </w:r>
      <w:r>
        <w:t>20</w:t>
      </w:r>
      <w:r w:rsidRPr="009118DF">
        <w:t xml:space="preserve">. február </w:t>
      </w:r>
      <w:r>
        <w:t>17</w:t>
      </w:r>
      <w:r w:rsidRPr="009118DF">
        <w:t>-</w:t>
      </w:r>
      <w:r>
        <w:t>e</w:t>
      </w:r>
      <w:r w:rsidRPr="009118DF">
        <w:t>i</w:t>
      </w:r>
    </w:p>
    <w:p w:rsidR="00A744CD" w:rsidRDefault="00A744CD" w:rsidP="004A5190">
      <w:pPr>
        <w:jc w:val="center"/>
      </w:pPr>
      <w:r w:rsidRPr="009118DF">
        <w:rPr>
          <w:u w:val="single"/>
        </w:rPr>
        <w:t>rendes</w:t>
      </w:r>
      <w:r w:rsidRPr="009118DF">
        <w:t>/rendkívüli testületi ülésére</w:t>
      </w:r>
    </w:p>
    <w:p w:rsidR="00A744CD" w:rsidRPr="009118DF" w:rsidRDefault="00A744CD" w:rsidP="004A5190">
      <w:pPr>
        <w:jc w:val="center"/>
      </w:pPr>
      <w:r>
        <w:t>2. napirendi ponthoz</w:t>
      </w:r>
    </w:p>
    <w:p w:rsidR="00A744CD" w:rsidRPr="009118DF" w:rsidRDefault="00A744CD" w:rsidP="004A5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A744CD" w:rsidRPr="004820AE" w:rsidRDefault="00A744CD" w:rsidP="00D768E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Mőcsény</w:t>
            </w:r>
            <w:r w:rsidRPr="004820AE">
              <w:rPr>
                <w:sz w:val="22"/>
                <w:szCs w:val="22"/>
              </w:rPr>
              <w:t xml:space="preserve"> Község Önkormányzata adósságot keletkeztető ügyleteiből és kezességvállalásaiból keletkező kötelezettségei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0B34EF">
              <w:t xml:space="preserve">Dr. </w:t>
            </w:r>
            <w:r>
              <w:t>Brandt Huba osztályvezető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A744CD" w:rsidRDefault="00A744CD" w:rsidP="00AF165C">
            <w:pPr>
              <w:rPr>
                <w:lang w:eastAsia="en-US"/>
              </w:rPr>
            </w:pPr>
            <w:r w:rsidRPr="000B34EF">
              <w:t xml:space="preserve">Dr. </w:t>
            </w:r>
            <w:r>
              <w:t>Brandt Huba osztályvezető</w:t>
            </w:r>
            <w:r>
              <w:rPr>
                <w:lang w:eastAsia="en-US"/>
              </w:rPr>
              <w:t xml:space="preserve"> </w:t>
            </w:r>
          </w:p>
          <w:p w:rsidR="00A744CD" w:rsidRPr="009118DF" w:rsidRDefault="00A744CD" w:rsidP="00AF165C">
            <w:pPr>
              <w:rPr>
                <w:lang w:eastAsia="en-US"/>
              </w:rPr>
            </w:pPr>
            <w:r>
              <w:rPr>
                <w:lang w:eastAsia="en-US"/>
              </w:rPr>
              <w:t>Kasler Lászlóné gazdálkodási ügyintéző</w:t>
            </w:r>
          </w:p>
        </w:tc>
      </w:tr>
      <w:tr w:rsidR="00A744CD" w:rsidRPr="00D768EB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u w:val="single"/>
                <w:lang w:eastAsia="en-US"/>
              </w:rPr>
              <w:t>egyszerű</w:t>
            </w:r>
            <w:r w:rsidRPr="009118DF">
              <w:rPr>
                <w:lang w:eastAsia="en-US"/>
              </w:rPr>
              <w:t>/minősített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rendelet/</w:t>
            </w:r>
            <w:r w:rsidRPr="009118DF">
              <w:rPr>
                <w:u w:val="single"/>
                <w:lang w:eastAsia="en-US"/>
              </w:rPr>
              <w:t>határozat</w:t>
            </w:r>
            <w:r w:rsidRPr="009118DF">
              <w:rPr>
                <w:lang w:eastAsia="en-US"/>
              </w:rPr>
              <w:t xml:space="preserve"> (normatív, hatósági, egyéb)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u w:val="single"/>
                <w:lang w:eastAsia="en-US"/>
              </w:rPr>
              <w:t>nyílt ülésen</w:t>
            </w:r>
            <w:r w:rsidRPr="009118DF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A744CD" w:rsidRPr="009118DF" w:rsidTr="00DC2B32">
        <w:tc>
          <w:tcPr>
            <w:tcW w:w="4606" w:type="dxa"/>
          </w:tcPr>
          <w:p w:rsidR="00A744CD" w:rsidRPr="009118DF" w:rsidRDefault="00A744CD" w:rsidP="00DC2B32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A744CD" w:rsidRDefault="00A744CD" w:rsidP="00DC2B32">
            <w:pPr>
              <w:rPr>
                <w:lang w:eastAsia="en-US"/>
              </w:rPr>
            </w:pPr>
          </w:p>
          <w:p w:rsidR="00A744CD" w:rsidRPr="009118DF" w:rsidRDefault="00A744CD" w:rsidP="00DC2B32">
            <w:pPr>
              <w:rPr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9118DF">
              <w:rPr>
                <w:lang w:eastAsia="en-US"/>
              </w:rPr>
              <w:t xml:space="preserve"> polgármester</w:t>
            </w:r>
          </w:p>
        </w:tc>
      </w:tr>
    </w:tbl>
    <w:p w:rsidR="00A744CD" w:rsidRPr="009118DF" w:rsidRDefault="00A744CD" w:rsidP="004A5190"/>
    <w:p w:rsidR="00A744CD" w:rsidRPr="00D768EB" w:rsidRDefault="00A744CD" w:rsidP="00D768EB">
      <w:pPr>
        <w:rPr>
          <w:b/>
        </w:rPr>
      </w:pPr>
      <w:r w:rsidRPr="00D768EB">
        <w:rPr>
          <w:b/>
        </w:rPr>
        <w:t>Tisztelt Képviselő-testület!</w:t>
      </w:r>
    </w:p>
    <w:p w:rsidR="00A744CD" w:rsidRPr="00D768EB" w:rsidRDefault="00A744CD" w:rsidP="00D768EB"/>
    <w:p w:rsidR="00A744CD" w:rsidRPr="00CD7D7B" w:rsidRDefault="00A744CD" w:rsidP="00CD7D7B">
      <w:pPr>
        <w:jc w:val="both"/>
      </w:pPr>
      <w:r w:rsidRPr="00D768EB">
        <w:t>Az államháztartásról szóló 2011. évi CXCV. tv.  29/A §</w:t>
      </w:r>
      <w:r>
        <w:t xml:space="preserve"> b.) pontja alapján a helyi önkormányzat </w:t>
      </w:r>
      <w:r w:rsidRPr="00CD7D7B">
        <w:t>évente, legkésőbb a költségvetési rendelet, határozat elfogadásáig határozatban állapítja meg</w:t>
      </w:r>
      <w:r w:rsidRPr="00CD7D7B">
        <w:rPr>
          <w:i/>
          <w:iCs/>
        </w:rPr>
        <w:t xml:space="preserve"> </w:t>
      </w:r>
      <w:r w:rsidRPr="00D768EB">
        <w:t>a Magyarország gazdasági stabilitásáról szóló 2011. évi CXCIV.</w:t>
      </w:r>
      <w:r>
        <w:t xml:space="preserve"> törvény (továbbiakban: Gst.) </w:t>
      </w:r>
      <w:r w:rsidRPr="00CD7D7B">
        <w:rPr>
          <w:color w:val="000000"/>
        </w:rPr>
        <w:t xml:space="preserve">szerinti adósságot keletkeztető ügyleteiből eredő fizetési </w:t>
      </w:r>
      <w:r w:rsidRPr="00CD7D7B">
        <w:t>kötelezettségeinek</w:t>
      </w:r>
      <w:r>
        <w:t xml:space="preserve"> </w:t>
      </w:r>
      <w:r w:rsidRPr="00CD7D7B">
        <w:t>a költségvetési évet követő három évre várható összegét.</w:t>
      </w:r>
    </w:p>
    <w:p w:rsidR="00A744CD" w:rsidRPr="00D768EB" w:rsidRDefault="00A744CD" w:rsidP="00D768EB">
      <w:pPr>
        <w:jc w:val="both"/>
      </w:pPr>
      <w:r w:rsidRPr="00D768EB">
        <w:t xml:space="preserve">A </w:t>
      </w:r>
      <w:r>
        <w:t>Gst. 8. § (2) bekezdés</w:t>
      </w:r>
      <w:r w:rsidRPr="00D768EB">
        <w:t xml:space="preserve"> szerint adósságot keletkeztető ügylet: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a) </w:t>
      </w:r>
      <w:r w:rsidRPr="00CD7D7B">
        <w:rPr>
          <w:lang w:eastAsia="en-US"/>
        </w:rPr>
        <w:t>hitel, kölcsön felvétele, átvállalása a folyósítás, átvállalás napjától a végtörlesztés napjáig, és annak aktuális tőketartozása,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>
        <w:rPr>
          <w:i/>
          <w:iCs/>
          <w:lang w:eastAsia="en-US"/>
        </w:rPr>
        <w:t>b</w:t>
      </w:r>
      <w:r w:rsidRPr="00CD7D7B">
        <w:rPr>
          <w:i/>
          <w:iCs/>
          <w:lang w:eastAsia="en-US"/>
        </w:rPr>
        <w:t xml:space="preserve">) </w:t>
      </w:r>
      <w:hyperlink r:id="rId7" w:tgtFrame="_blank" w:history="1">
        <w:r w:rsidRPr="00CD7D7B">
          <w:rPr>
            <w:rStyle w:val="Hiperhivatkozs"/>
            <w:lang w:eastAsia="en-US"/>
          </w:rPr>
          <w:t>a számvitelről szóló törvény</w:t>
        </w:r>
      </w:hyperlink>
      <w:r w:rsidRPr="00CD7D7B">
        <w:rPr>
          <w:lang w:eastAsia="en-US"/>
        </w:rPr>
        <w:t xml:space="preserve"> (a továbbiakban: </w:t>
      </w:r>
      <w:hyperlink r:id="rId8" w:tgtFrame="_blank" w:history="1">
        <w:r w:rsidRPr="00CD7D7B">
          <w:rPr>
            <w:rStyle w:val="Hiperhivatkozs"/>
            <w:lang w:eastAsia="en-US"/>
          </w:rPr>
          <w:t>Szt.</w:t>
        </w:r>
      </w:hyperlink>
      <w:r w:rsidRPr="00CD7D7B">
        <w:rPr>
          <w:lang w:eastAsia="en-US"/>
        </w:rPr>
        <w:t>) szerinti hitelviszonyt megtestesítő értékpapír forgalomba hozatala a forgalomba hozatal napjától a beváltás napjáig, kamatozó értékpapír esetén annak névértéke, egyéb értékpapír esetén annak vételára,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c) </w:t>
      </w:r>
      <w:r w:rsidRPr="00CD7D7B">
        <w:rPr>
          <w:lang w:eastAsia="en-US"/>
        </w:rPr>
        <w:t>váltó kibocsátása a kibocsátás napjától a beváltás napjáig, és annak a váltóval kiváltott kötelezettséggel megegyező, kamatot nem tartalmazó értéke,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d) </w:t>
      </w:r>
      <w:r w:rsidRPr="00CD7D7B">
        <w:rPr>
          <w:lang w:eastAsia="en-US"/>
        </w:rPr>
        <w:t xml:space="preserve">az </w:t>
      </w:r>
      <w:hyperlink r:id="rId9" w:anchor="sid" w:history="1">
        <w:r w:rsidRPr="00CD7D7B">
          <w:rPr>
            <w:rStyle w:val="Hiperhivatkozs"/>
            <w:lang w:eastAsia="en-US"/>
          </w:rPr>
          <w:t>Szt.</w:t>
        </w:r>
      </w:hyperlink>
      <w:r w:rsidRPr="00CD7D7B">
        <w:rPr>
          <w:lang w:eastAsia="en-US"/>
        </w:rPr>
        <w:t xml:space="preserve"> szerint pénzügyi lízing lízingbevevői félként történő megkötése a lízing futamideje alatt, és a lízingszerződésben kikötött tőkerész hátralévő összege,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e) </w:t>
      </w:r>
      <w:r w:rsidRPr="00CD7D7B">
        <w:rPr>
          <w:lang w:eastAsia="en-US"/>
        </w:rPr>
        <w:t xml:space="preserve">a visszavásárlási kötelezettség kikötésével megkötött adásvételi szerződés eladói félként történő megkötése - ideértve az </w:t>
      </w:r>
      <w:hyperlink r:id="rId10" w:anchor="sid" w:history="1">
        <w:r w:rsidRPr="00CD7D7B">
          <w:rPr>
            <w:rStyle w:val="Hiperhivatkozs"/>
            <w:lang w:eastAsia="en-US"/>
          </w:rPr>
          <w:t>Szt.</w:t>
        </w:r>
      </w:hyperlink>
      <w:r w:rsidRPr="00CD7D7B">
        <w:rPr>
          <w:lang w:eastAsia="en-US"/>
        </w:rPr>
        <w:t xml:space="preserve"> szerinti valódi penziós és óvadéki repóügyleteket is - a visszavásárlásig, és a kikötött visszavásárlási ár,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f) </w:t>
      </w:r>
      <w:r w:rsidRPr="00CD7D7B">
        <w:rPr>
          <w:lang w:eastAsia="en-US"/>
        </w:rPr>
        <w:t>a szerződésben kapott, legalább háromszázhatvanöt nap időtartamú halasztott fizetés, részletfizetés, és a még ki nem fizetett ellenérték,</w:t>
      </w:r>
    </w:p>
    <w:p w:rsidR="00A744CD" w:rsidRPr="00CD7D7B" w:rsidRDefault="00A744CD" w:rsidP="00CD7D7B">
      <w:pPr>
        <w:pStyle w:val="NormlWeb"/>
        <w:spacing w:before="0" w:beforeAutospacing="0" w:after="0" w:afterAutospacing="0"/>
        <w:ind w:left="720"/>
        <w:jc w:val="both"/>
        <w:rPr>
          <w:lang w:eastAsia="en-US"/>
        </w:rPr>
      </w:pPr>
      <w:r w:rsidRPr="00CD7D7B">
        <w:rPr>
          <w:i/>
          <w:iCs/>
          <w:lang w:eastAsia="en-US"/>
        </w:rPr>
        <w:t xml:space="preserve">g) </w:t>
      </w:r>
      <w:r w:rsidRPr="00CD7D7B">
        <w:rPr>
          <w:lang w:eastAsia="en-US"/>
        </w:rPr>
        <w:t>hitelintézetek által, származékos műveletek különbözeteként az Államadósság Kezelő Központ Zrt.-nél (a továbbiakban: ÁKK Zrt.) elhelyezett fedezeti betétek, és azok összege.</w:t>
      </w:r>
    </w:p>
    <w:p w:rsidR="00A744CD" w:rsidRPr="00D768EB" w:rsidRDefault="00A744CD" w:rsidP="00665744">
      <w:pPr>
        <w:pStyle w:val="NormlWeb"/>
        <w:spacing w:before="0" w:beforeAutospacing="0" w:after="0" w:afterAutospacing="0"/>
        <w:ind w:left="720"/>
        <w:jc w:val="both"/>
      </w:pPr>
    </w:p>
    <w:p w:rsidR="00A744CD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Mőcsény Község</w:t>
      </w:r>
      <w:r w:rsidRPr="00D768EB">
        <w:rPr>
          <w:rFonts w:ascii="Times New Roman" w:hAnsi="Times New Roman"/>
          <w:sz w:val="24"/>
          <w:szCs w:val="24"/>
        </w:rPr>
        <w:t xml:space="preserve"> Önkormányzata 20</w:t>
      </w:r>
      <w:r>
        <w:rPr>
          <w:rFonts w:ascii="Times New Roman" w:hAnsi="Times New Roman"/>
          <w:sz w:val="24"/>
          <w:szCs w:val="24"/>
        </w:rPr>
        <w:t>20</w:t>
      </w:r>
      <w:r w:rsidRPr="00D768EB">
        <w:rPr>
          <w:rFonts w:ascii="Times New Roman" w:hAnsi="Times New Roman"/>
          <w:sz w:val="24"/>
          <w:szCs w:val="24"/>
        </w:rPr>
        <w:t xml:space="preserve">. évi költségvetési rendelet-tervezete </w:t>
      </w:r>
      <w:r>
        <w:rPr>
          <w:rFonts w:ascii="Times New Roman" w:hAnsi="Times New Roman"/>
          <w:sz w:val="24"/>
          <w:szCs w:val="24"/>
        </w:rPr>
        <w:t xml:space="preserve">adósságot keletkeztető ügyletet nem tartalmaz. </w:t>
      </w:r>
    </w:p>
    <w:p w:rsidR="00A744CD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68EB">
        <w:rPr>
          <w:rFonts w:ascii="Times New Roman" w:hAnsi="Times New Roman"/>
          <w:sz w:val="24"/>
          <w:szCs w:val="24"/>
        </w:rPr>
        <w:t xml:space="preserve">A csatolt mellékletben mutatjuk be az önkormányzati saját bevételeket, valamint az adósságot keletkeztető ügyletekből származó fizetési kötelezettségeket. </w:t>
      </w: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68EB">
        <w:rPr>
          <w:rFonts w:ascii="Times New Roman" w:hAnsi="Times New Roman"/>
          <w:sz w:val="24"/>
          <w:szCs w:val="24"/>
        </w:rPr>
        <w:t xml:space="preserve">Az adósságot keletkeztető ügyletekhez történő hozzájárulás részletes szabályairól szóló 353/2011.(XII.30.) Korm. rendelet 6. §. (1) </w:t>
      </w:r>
      <w:r>
        <w:rPr>
          <w:rFonts w:ascii="Times New Roman" w:hAnsi="Times New Roman"/>
          <w:sz w:val="24"/>
          <w:szCs w:val="24"/>
        </w:rPr>
        <w:t>b) pontja s</w:t>
      </w:r>
      <w:r w:rsidRPr="00D768EB">
        <w:rPr>
          <w:rFonts w:ascii="Times New Roman" w:hAnsi="Times New Roman"/>
          <w:sz w:val="24"/>
          <w:szCs w:val="24"/>
        </w:rPr>
        <w:t xml:space="preserve">zerint az önkormányzat ügyleteiből származó tárgyévi összes fizetési kötelezettsége az ügylet futamidejének végéig egyik évben sem haladja meg az önkormányzat adott évi saját bevételeinek 50 %-át. </w:t>
      </w: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bemutatott adatok szerint a </w:t>
      </w:r>
      <w:r w:rsidRPr="00D768EB">
        <w:rPr>
          <w:rFonts w:ascii="Times New Roman" w:hAnsi="Times New Roman"/>
          <w:sz w:val="24"/>
          <w:szCs w:val="24"/>
        </w:rPr>
        <w:t xml:space="preserve">hitelfelvételt terhelő fizetési kötelezettségek összege a következő 3 év egyikében sem éri el a saját bevételek 50 %-át. </w:t>
      </w: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4CD" w:rsidRPr="00D768EB" w:rsidRDefault="00A744CD" w:rsidP="00D768EB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68EB">
        <w:rPr>
          <w:rFonts w:ascii="Times New Roman" w:hAnsi="Times New Roman"/>
          <w:sz w:val="24"/>
          <w:szCs w:val="24"/>
        </w:rPr>
        <w:t>Fentiek alapján kérem, hogy a határozati javaslatot elfogadni szíveskedjenek.</w:t>
      </w:r>
    </w:p>
    <w:p w:rsidR="00A744CD" w:rsidRPr="00D768EB" w:rsidRDefault="00A744CD" w:rsidP="00D768EB">
      <w:pPr>
        <w:jc w:val="both"/>
        <w:rPr>
          <w:b/>
          <w:u w:val="single"/>
        </w:rPr>
      </w:pPr>
    </w:p>
    <w:p w:rsidR="00A744CD" w:rsidRPr="00D768EB" w:rsidRDefault="00A744CD" w:rsidP="00D768EB">
      <w:pPr>
        <w:jc w:val="both"/>
        <w:rPr>
          <w:b/>
          <w:u w:val="single"/>
        </w:rPr>
      </w:pPr>
      <w:r w:rsidRPr="00D768EB">
        <w:rPr>
          <w:b/>
          <w:u w:val="single"/>
        </w:rPr>
        <w:t>Határozati javaslat</w:t>
      </w:r>
    </w:p>
    <w:p w:rsidR="00A744CD" w:rsidRPr="00D768EB" w:rsidRDefault="00A744CD" w:rsidP="00D768EB">
      <w:pPr>
        <w:jc w:val="both"/>
        <w:rPr>
          <w:b/>
          <w:u w:val="single"/>
        </w:rPr>
      </w:pPr>
    </w:p>
    <w:p w:rsidR="00A744CD" w:rsidRPr="00D768EB" w:rsidRDefault="00A744CD" w:rsidP="00D768EB">
      <w:pPr>
        <w:jc w:val="both"/>
      </w:pPr>
      <w:r>
        <w:t>Mőcsény Község</w:t>
      </w:r>
      <w:r w:rsidRPr="00D768EB">
        <w:t xml:space="preserve"> Önkormányzatának Képviselő-testülete az államháztartásról szóló 2011. évi CXCV. tv.  29/A</w:t>
      </w:r>
      <w:r>
        <w:t>.</w:t>
      </w:r>
      <w:bookmarkStart w:id="0" w:name="_GoBack"/>
      <w:bookmarkEnd w:id="0"/>
      <w:r w:rsidRPr="00D768EB">
        <w:t xml:space="preserve"> §-a alapján az adósságot keletkeztető ügyleteiből eredő fizetési kötelezettségeit a költségvetési évet köve</w:t>
      </w:r>
      <w:r>
        <w:t>tő 3 évre vonatkozóan az 1. melléklet</w:t>
      </w:r>
      <w:r w:rsidRPr="00D768EB">
        <w:t xml:space="preserve"> alapján elfogadja.</w:t>
      </w:r>
    </w:p>
    <w:p w:rsidR="00A744CD" w:rsidRDefault="00A744CD" w:rsidP="00D768EB">
      <w:pPr>
        <w:jc w:val="both"/>
      </w:pPr>
      <w:r>
        <w:t>A kötelezettségek 2020., 2021., 2022., 2023. évek egyikében sem érik el a - 3</w:t>
      </w:r>
      <w:r w:rsidRPr="00D768EB">
        <w:t>53/2011.(XII.30.) Korm. rendelet</w:t>
      </w:r>
      <w:r>
        <w:t xml:space="preserve"> 6. (1) b) pontjában</w:t>
      </w:r>
      <w:r w:rsidRPr="00D768EB">
        <w:t xml:space="preserve"> </w:t>
      </w:r>
      <w:r>
        <w:t>rögzített - saját bevételek 50 %-át.</w:t>
      </w:r>
    </w:p>
    <w:p w:rsidR="00A744CD" w:rsidRPr="00D768EB" w:rsidRDefault="00A744CD" w:rsidP="00D768EB">
      <w:pPr>
        <w:jc w:val="both"/>
      </w:pPr>
    </w:p>
    <w:p w:rsidR="00A744CD" w:rsidRPr="00887669" w:rsidRDefault="00A744CD" w:rsidP="00D768EB">
      <w:pPr>
        <w:jc w:val="both"/>
      </w:pPr>
      <w:r w:rsidRPr="00887669">
        <w:t xml:space="preserve">Határidő: </w:t>
      </w:r>
      <w:r>
        <w:t>azonnal</w:t>
      </w:r>
    </w:p>
    <w:p w:rsidR="00A744CD" w:rsidRPr="00887669" w:rsidRDefault="00A744CD" w:rsidP="00D768EB">
      <w:pPr>
        <w:jc w:val="both"/>
      </w:pPr>
      <w:r w:rsidRPr="00887669">
        <w:t xml:space="preserve">Felelős: Dr. </w:t>
      </w:r>
      <w:r>
        <w:t>Brandt Huba osztályvezető</w:t>
      </w:r>
    </w:p>
    <w:p w:rsidR="00A744CD" w:rsidRDefault="00A744CD" w:rsidP="00D768EB">
      <w:pPr>
        <w:jc w:val="both"/>
      </w:pPr>
    </w:p>
    <w:p w:rsidR="00A744CD" w:rsidRPr="000007EC" w:rsidRDefault="00A744CD" w:rsidP="00D768EB">
      <w:pPr>
        <w:jc w:val="both"/>
      </w:pPr>
    </w:p>
    <w:p w:rsidR="00A744CD" w:rsidRPr="00D768EB" w:rsidRDefault="00A744CD" w:rsidP="00D768EB">
      <w:pPr>
        <w:jc w:val="both"/>
      </w:pPr>
      <w:r>
        <w:t>Mőcsény</w:t>
      </w:r>
      <w:r w:rsidRPr="00D768EB">
        <w:t xml:space="preserve">, </w:t>
      </w:r>
      <w:r>
        <w:t>2020. február 04</w:t>
      </w:r>
      <w:r w:rsidRPr="00D768EB">
        <w:t>.</w:t>
      </w:r>
    </w:p>
    <w:p w:rsidR="00A744CD" w:rsidRPr="00D768EB" w:rsidRDefault="00A744CD" w:rsidP="00D768EB">
      <w:pPr>
        <w:jc w:val="both"/>
      </w:pP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</w:r>
    </w:p>
    <w:p w:rsidR="00A744CD" w:rsidRPr="00D768EB" w:rsidRDefault="00A744CD" w:rsidP="00D768EB">
      <w:pPr>
        <w:jc w:val="both"/>
      </w:pPr>
    </w:p>
    <w:p w:rsidR="00A744CD" w:rsidRPr="00D768EB" w:rsidRDefault="00A744CD" w:rsidP="00D768EB">
      <w:pPr>
        <w:jc w:val="both"/>
      </w:pP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</w:r>
      <w:r w:rsidRPr="00D768EB">
        <w:tab/>
        <w:t xml:space="preserve">Dr. </w:t>
      </w:r>
      <w:r>
        <w:t>Brandt Huba s.k.</w:t>
      </w:r>
    </w:p>
    <w:p w:rsidR="00A744CD" w:rsidRPr="001367B5" w:rsidRDefault="00A744CD" w:rsidP="001367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osztályvezető</w:t>
      </w:r>
      <w:r w:rsidRPr="00D768EB">
        <w:t xml:space="preserve">  </w:t>
      </w:r>
    </w:p>
    <w:sectPr w:rsidR="00A744CD" w:rsidRPr="001367B5" w:rsidSect="001367B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19" w:rsidRDefault="00584219">
      <w:r>
        <w:separator/>
      </w:r>
    </w:p>
  </w:endnote>
  <w:endnote w:type="continuationSeparator" w:id="0">
    <w:p w:rsidR="00584219" w:rsidRDefault="0058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CD" w:rsidRDefault="00F241EF">
    <w:pPr>
      <w:pStyle w:val="llb"/>
      <w:jc w:val="center"/>
    </w:pPr>
    <w:fldSimple w:instr=" PAGE   \* MERGEFORMAT ">
      <w:r w:rsidR="00A744CD">
        <w:rPr>
          <w:noProof/>
        </w:rPr>
        <w:t>2</w:t>
      </w:r>
    </w:fldSimple>
  </w:p>
  <w:p w:rsidR="00A744CD" w:rsidRPr="0086683D" w:rsidRDefault="00A744CD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19" w:rsidRDefault="00584219">
      <w:r>
        <w:separator/>
      </w:r>
    </w:p>
  </w:footnote>
  <w:footnote w:type="continuationSeparator" w:id="0">
    <w:p w:rsidR="00584219" w:rsidRDefault="00584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CD" w:rsidRPr="00A41664" w:rsidRDefault="00F241EF" w:rsidP="007459C5">
    <w:pPr>
      <w:pStyle w:val="lfej"/>
      <w:rPr>
        <w:b/>
        <w:sz w:val="36"/>
        <w:szCs w:val="36"/>
      </w:rPr>
    </w:pPr>
    <w:r w:rsidRPr="00F241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36pt;margin-top:-9.55pt;width:99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" filled="f" stroked="f">
          <v:textbox>
            <w:txbxContent>
              <w:p w:rsidR="00A744CD" w:rsidRDefault="00A744CD" w:rsidP="007459C5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0E5DD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2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CD" w:rsidRPr="00A83B96" w:rsidRDefault="00A744CD" w:rsidP="001367B5">
    <w:pPr>
      <w:pStyle w:val="lfej"/>
      <w:jc w:val="center"/>
      <w:rPr>
        <w:b/>
        <w:sz w:val="36"/>
        <w:szCs w:val="36"/>
      </w:rPr>
    </w:pPr>
    <w:r>
      <w:tab/>
    </w:r>
    <w:r>
      <w:rPr>
        <w:b/>
        <w:sz w:val="36"/>
        <w:szCs w:val="36"/>
      </w:rPr>
      <w:t>Mőcsény Község</w:t>
    </w:r>
    <w:r w:rsidRPr="00A83B96">
      <w:rPr>
        <w:b/>
        <w:sz w:val="36"/>
        <w:szCs w:val="36"/>
      </w:rPr>
      <w:t xml:space="preserve"> Önkormányzata</w:t>
    </w:r>
  </w:p>
  <w:p w:rsidR="00A744CD" w:rsidRDefault="00A744CD" w:rsidP="001367B5">
    <w:pPr>
      <w:pStyle w:val="lfej"/>
      <w:jc w:val="right"/>
      <w:rPr>
        <w:b/>
        <w:sz w:val="36"/>
        <w:szCs w:val="36"/>
      </w:rPr>
    </w:pPr>
  </w:p>
  <w:p w:rsidR="00A744CD" w:rsidRDefault="00F241EF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30.15pt;margin-top:13.05pt;width:524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zeh6aHwIAADwEAAAOAAAAAAAAAAAAAAAAAC4CAABkcnMvZTJvRG9jLnhtbFBLAQIt&#10;ABQABgAIAAAAIQDNQari2wAAAAkBAAAPAAAAAAAAAAAAAAAAAHkEAABkcnMvZG93bnJldi54bWxQ&#10;SwUGAAAAAAQABADzAAAAg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D60"/>
    <w:multiLevelType w:val="hybridMultilevel"/>
    <w:tmpl w:val="A74EF4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E5527"/>
    <w:rsid w:val="000007EC"/>
    <w:rsid w:val="00007FD4"/>
    <w:rsid w:val="0009695C"/>
    <w:rsid w:val="000A6C7F"/>
    <w:rsid w:val="000B34EF"/>
    <w:rsid w:val="000C47D3"/>
    <w:rsid w:val="000D3408"/>
    <w:rsid w:val="000E18C4"/>
    <w:rsid w:val="000E5DD4"/>
    <w:rsid w:val="001367B5"/>
    <w:rsid w:val="00187DDB"/>
    <w:rsid w:val="00221534"/>
    <w:rsid w:val="00247E7E"/>
    <w:rsid w:val="00292059"/>
    <w:rsid w:val="002B18EB"/>
    <w:rsid w:val="002E5527"/>
    <w:rsid w:val="0031190D"/>
    <w:rsid w:val="00345BD0"/>
    <w:rsid w:val="003A0E15"/>
    <w:rsid w:val="003C0DCB"/>
    <w:rsid w:val="003C44C9"/>
    <w:rsid w:val="003C5E06"/>
    <w:rsid w:val="004421E5"/>
    <w:rsid w:val="00444DFD"/>
    <w:rsid w:val="004820AE"/>
    <w:rsid w:val="00491EF3"/>
    <w:rsid w:val="00492611"/>
    <w:rsid w:val="004A5190"/>
    <w:rsid w:val="00510024"/>
    <w:rsid w:val="0051131D"/>
    <w:rsid w:val="0054015D"/>
    <w:rsid w:val="0054629B"/>
    <w:rsid w:val="00546BB7"/>
    <w:rsid w:val="005613C3"/>
    <w:rsid w:val="00584219"/>
    <w:rsid w:val="005C6847"/>
    <w:rsid w:val="005D09DF"/>
    <w:rsid w:val="005E481B"/>
    <w:rsid w:val="005F31D6"/>
    <w:rsid w:val="006072A4"/>
    <w:rsid w:val="006174C4"/>
    <w:rsid w:val="00665744"/>
    <w:rsid w:val="00667FC2"/>
    <w:rsid w:val="00691A63"/>
    <w:rsid w:val="006A4BF1"/>
    <w:rsid w:val="006C0D3E"/>
    <w:rsid w:val="006C72AB"/>
    <w:rsid w:val="006E2F96"/>
    <w:rsid w:val="00727BDF"/>
    <w:rsid w:val="007459C5"/>
    <w:rsid w:val="00776F17"/>
    <w:rsid w:val="007D666E"/>
    <w:rsid w:val="007E7E1E"/>
    <w:rsid w:val="007F133D"/>
    <w:rsid w:val="00853D62"/>
    <w:rsid w:val="0086683D"/>
    <w:rsid w:val="00887669"/>
    <w:rsid w:val="00897476"/>
    <w:rsid w:val="008A47FA"/>
    <w:rsid w:val="008B1D25"/>
    <w:rsid w:val="008D2028"/>
    <w:rsid w:val="008D7B06"/>
    <w:rsid w:val="009118DF"/>
    <w:rsid w:val="00911ECF"/>
    <w:rsid w:val="009A5612"/>
    <w:rsid w:val="00A251C0"/>
    <w:rsid w:val="00A4004C"/>
    <w:rsid w:val="00A41664"/>
    <w:rsid w:val="00A47C63"/>
    <w:rsid w:val="00A508D8"/>
    <w:rsid w:val="00A744CD"/>
    <w:rsid w:val="00A8119E"/>
    <w:rsid w:val="00A83B96"/>
    <w:rsid w:val="00A96A05"/>
    <w:rsid w:val="00A97F7D"/>
    <w:rsid w:val="00AC0DF9"/>
    <w:rsid w:val="00AD6F87"/>
    <w:rsid w:val="00AF165C"/>
    <w:rsid w:val="00B0481E"/>
    <w:rsid w:val="00B50374"/>
    <w:rsid w:val="00B7612F"/>
    <w:rsid w:val="00BB4489"/>
    <w:rsid w:val="00BB7AA5"/>
    <w:rsid w:val="00BE11FB"/>
    <w:rsid w:val="00C31CC2"/>
    <w:rsid w:val="00C4075E"/>
    <w:rsid w:val="00C45735"/>
    <w:rsid w:val="00C45A21"/>
    <w:rsid w:val="00C707BE"/>
    <w:rsid w:val="00C7378E"/>
    <w:rsid w:val="00CA113B"/>
    <w:rsid w:val="00CD7D7B"/>
    <w:rsid w:val="00D0531A"/>
    <w:rsid w:val="00D07E90"/>
    <w:rsid w:val="00D37056"/>
    <w:rsid w:val="00D55123"/>
    <w:rsid w:val="00D614D7"/>
    <w:rsid w:val="00D768EB"/>
    <w:rsid w:val="00D96EE5"/>
    <w:rsid w:val="00DB1F30"/>
    <w:rsid w:val="00DC2B32"/>
    <w:rsid w:val="00E0588A"/>
    <w:rsid w:val="00EA65F3"/>
    <w:rsid w:val="00F0602D"/>
    <w:rsid w:val="00F154E0"/>
    <w:rsid w:val="00F241EF"/>
    <w:rsid w:val="00FC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5527"/>
    <w:pPr>
      <w:widowControl w:val="0"/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E5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E5527"/>
    <w:rPr>
      <w:rFonts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2E5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E5527"/>
    <w:rPr>
      <w:rFonts w:cs="Times New Roman"/>
      <w:sz w:val="24"/>
      <w:szCs w:val="24"/>
      <w:lang w:val="hu-HU" w:eastAsia="hu-HU" w:bidi="ar-SA"/>
    </w:rPr>
  </w:style>
  <w:style w:type="paragraph" w:styleId="NormlWeb">
    <w:name w:val="Normal (Web)"/>
    <w:basedOn w:val="Norml"/>
    <w:uiPriority w:val="99"/>
    <w:rsid w:val="002E5527"/>
    <w:pPr>
      <w:widowControl/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2E5527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D768EB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rsid w:val="00CD7D7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CD7D7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000100.TV/tvalid/2020.1.1./tsid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0000100.TV/tvalid/2020.1.1./tsi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ijus.hu/optijus/lawtext/A0000100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0000100.T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 Önkormányzata</dc:title>
  <dc:subject/>
  <dc:creator>edit</dc:creator>
  <cp:keywords/>
  <dc:description/>
  <cp:lastModifiedBy>Polgármester</cp:lastModifiedBy>
  <cp:revision>2</cp:revision>
  <cp:lastPrinted>2018-02-08T06:24:00Z</cp:lastPrinted>
  <dcterms:created xsi:type="dcterms:W3CDTF">2020-03-09T09:33:00Z</dcterms:created>
  <dcterms:modified xsi:type="dcterms:W3CDTF">2020-03-09T09:33:00Z</dcterms:modified>
</cp:coreProperties>
</file>